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F3A9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14:paraId="6C8F6937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54C4667B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 сесія VІІI скликання</w:t>
      </w:r>
    </w:p>
    <w:p w14:paraId="0D9C4E22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406E32D6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14:paraId="5EA11654" w14:textId="77777777" w:rsidR="006671E9" w:rsidRPr="006671E9" w:rsidRDefault="006671E9" w:rsidP="006671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uk-UA"/>
        </w:rPr>
        <w:t> </w:t>
      </w:r>
    </w:p>
    <w:p w14:paraId="64E28581" w14:textId="77777777" w:rsidR="006671E9" w:rsidRPr="006671E9" w:rsidRDefault="006671E9" w:rsidP="006671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uk-UA"/>
        </w:rPr>
        <w:t> </w:t>
      </w:r>
    </w:p>
    <w:p w14:paraId="6128A2C4" w14:textId="77777777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</w:t>
      </w: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16 лютого 2022 року                                                                              </w:t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</w:t>
      </w: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365-VIII</w:t>
      </w:r>
    </w:p>
    <w:p w14:paraId="6EF93189" w14:textId="77777777" w:rsidR="006671E9" w:rsidRPr="006671E9" w:rsidRDefault="006671E9" w:rsidP="006671E9">
      <w:pPr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68EE4A08" w14:textId="77777777" w:rsidR="006671E9" w:rsidRPr="006671E9" w:rsidRDefault="006671E9" w:rsidP="006671E9">
      <w:pPr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189AF917" w14:textId="77777777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затвердження Програми</w:t>
      </w:r>
    </w:p>
    <w:p w14:paraId="0C529537" w14:textId="77777777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територіальної оборони</w:t>
      </w:r>
    </w:p>
    <w:p w14:paraId="573318C0" w14:textId="37C09555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Харківської області на 2022</w:t>
      </w:r>
      <w:r w:rsidR="00915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-2024</w:t>
      </w: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р</w:t>
      </w:r>
      <w:r w:rsidR="00915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</w:t>
      </w:r>
      <w:r w:rsidR="00915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="004E61F1">
        <w:rPr>
          <w:rStyle w:val="a5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footnoteReference w:id="1"/>
      </w:r>
    </w:p>
    <w:p w14:paraId="5E495950" w14:textId="77777777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3EF42A8E" w14:textId="77777777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381150EB" w14:textId="77777777" w:rsidR="006671E9" w:rsidRPr="006671E9" w:rsidRDefault="006671E9" w:rsidP="0066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 метою вдосконалення системи організації територіальної оборони області, відповідно до законів України «Про оборону України» та «Про основи національного спротиву», керуючись статями 43, 59 Закону України «Про місцеве самоврядування в Україні», обласна рада</w:t>
      </w:r>
    </w:p>
    <w:p w14:paraId="0B5A1E37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1B45EB77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14:paraId="6466F2A5" w14:textId="77777777" w:rsidR="006671E9" w:rsidRPr="006671E9" w:rsidRDefault="006671E9" w:rsidP="0066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5C77898B" w14:textId="54A43A28" w:rsidR="006671E9" w:rsidRPr="006671E9" w:rsidRDefault="006671E9" w:rsidP="0066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</w:t>
      </w:r>
      <w:r w:rsidRPr="006671E9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uk-UA"/>
        </w:rPr>
        <w:t>. Затвердити </w:t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Програму територіальної оборони Харківської області на 2022</w:t>
      </w:r>
      <w:r w:rsidR="0091534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-2024</w:t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</w:t>
      </w:r>
      <w:r w:rsidR="0091534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</w:t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</w:t>
      </w:r>
      <w:r w:rsidR="0091534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</w:t>
      </w:r>
      <w:r w:rsidR="004E61F1">
        <w:rPr>
          <w:rStyle w:val="a5"/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footnoteReference w:id="2"/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(далі – Програма), що додається.</w:t>
      </w:r>
    </w:p>
    <w:p w14:paraId="70E47F05" w14:textId="77777777" w:rsidR="006671E9" w:rsidRPr="006671E9" w:rsidRDefault="006671E9" w:rsidP="006671E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8E9E7BE" w14:textId="0064F269" w:rsidR="006671E9" w:rsidRPr="006671E9" w:rsidRDefault="006671E9" w:rsidP="006671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Харківській обласній державній адміністрації при внесенні змін до обласного бюджету на 2022</w:t>
      </w:r>
      <w:r w:rsidR="0091534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-2024</w:t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</w:t>
      </w:r>
      <w:r w:rsidR="0091534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</w:t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</w:t>
      </w:r>
      <w:r w:rsidR="0091534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</w:t>
      </w:r>
      <w:r w:rsidR="004E61F1">
        <w:rPr>
          <w:rStyle w:val="a5"/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footnoteReference w:id="3"/>
      </w: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передбачати кошти на фінансування Програми виходячи з фінансових можливостей.</w:t>
      </w:r>
    </w:p>
    <w:p w14:paraId="106C207E" w14:textId="77777777" w:rsidR="006671E9" w:rsidRPr="006671E9" w:rsidRDefault="006671E9" w:rsidP="006671E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1F274BA8" w14:textId="77777777" w:rsidR="006671E9" w:rsidRPr="006671E9" w:rsidRDefault="006671E9" w:rsidP="006671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Контроль за виконанням рішення покласти на постійні комісії обласної ради: антикорупційної та регуляторної політики, законності, боротьби зі злочинністю, регламенту та місцевого самоврядування (Олег КАРАТУМАНОВ); з питань бюджету (Людмила НЕМИКІНА).</w:t>
      </w:r>
    </w:p>
    <w:p w14:paraId="418E2341" w14:textId="77777777" w:rsidR="006671E9" w:rsidRPr="006671E9" w:rsidRDefault="006671E9" w:rsidP="006671E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4EB4970" w14:textId="77777777" w:rsidR="006671E9" w:rsidRPr="006671E9" w:rsidRDefault="006671E9" w:rsidP="006671E9">
      <w:pPr>
        <w:spacing w:after="0" w:line="240" w:lineRule="auto"/>
        <w:ind w:right="23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516CF27A" w14:textId="77777777" w:rsidR="006671E9" w:rsidRPr="006671E9" w:rsidRDefault="006671E9" w:rsidP="006671E9">
      <w:pPr>
        <w:spacing w:after="0" w:line="240" w:lineRule="auto"/>
        <w:ind w:right="23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5B9F1347" w14:textId="2603CADA" w:rsidR="006671E9" w:rsidRPr="0091534B" w:rsidRDefault="006671E9" w:rsidP="006671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 </w:t>
      </w:r>
      <w:proofErr w:type="spellStart"/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обласн</w:t>
      </w:r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ої</w:t>
      </w:r>
      <w:proofErr w:type="spellEnd"/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рад</w:t>
      </w:r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                                           </w:t>
      </w:r>
      <w:proofErr w:type="spellStart"/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Тетян</w:t>
      </w:r>
      <w:proofErr w:type="spellEnd"/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ЄГОРОВ</w:t>
      </w:r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91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-ЛУЦЕНКО</w:t>
      </w:r>
    </w:p>
    <w:p w14:paraId="00B36649" w14:textId="77777777" w:rsidR="006671E9" w:rsidRPr="006671E9" w:rsidRDefault="006671E9" w:rsidP="00667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Calibri" w:eastAsia="Times New Roman" w:hAnsi="Calibri" w:cs="Calibri"/>
          <w:color w:val="000000"/>
          <w:sz w:val="27"/>
          <w:szCs w:val="27"/>
          <w:lang w:eastAsia="uk-UA"/>
        </w:rPr>
        <w:t> </w:t>
      </w:r>
    </w:p>
    <w:p w14:paraId="7D67A9AD" w14:textId="77777777" w:rsidR="006671E9" w:rsidRPr="006671E9" w:rsidRDefault="006671E9" w:rsidP="006671E9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671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CE543AB" w14:textId="77777777" w:rsidR="00E170A4" w:rsidRPr="006671E9" w:rsidRDefault="00E170A4" w:rsidP="006671E9"/>
    <w:sectPr w:rsidR="00E170A4" w:rsidRPr="00667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E5DE" w14:textId="77777777" w:rsidR="006D6952" w:rsidRDefault="006D6952" w:rsidP="004E61F1">
      <w:pPr>
        <w:spacing w:after="0" w:line="240" w:lineRule="auto"/>
      </w:pPr>
      <w:r>
        <w:separator/>
      </w:r>
    </w:p>
  </w:endnote>
  <w:endnote w:type="continuationSeparator" w:id="0">
    <w:p w14:paraId="157A287F" w14:textId="77777777" w:rsidR="006D6952" w:rsidRDefault="006D6952" w:rsidP="004E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4C1B" w14:textId="77777777" w:rsidR="006D6952" w:rsidRDefault="006D6952" w:rsidP="004E61F1">
      <w:pPr>
        <w:spacing w:after="0" w:line="240" w:lineRule="auto"/>
      </w:pPr>
      <w:r>
        <w:separator/>
      </w:r>
    </w:p>
  </w:footnote>
  <w:footnote w:type="continuationSeparator" w:id="0">
    <w:p w14:paraId="79EE17C4" w14:textId="77777777" w:rsidR="006D6952" w:rsidRDefault="006D6952" w:rsidP="004E61F1">
      <w:pPr>
        <w:spacing w:after="0" w:line="240" w:lineRule="auto"/>
      </w:pPr>
      <w:r>
        <w:continuationSeparator/>
      </w:r>
    </w:p>
  </w:footnote>
  <w:footnote w:id="1">
    <w:p w14:paraId="722DB4CB" w14:textId="5D904DA0" w:rsidR="004E61F1" w:rsidRPr="00AE70E0" w:rsidRDefault="004E61F1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E23F8E">
        <w:rPr>
          <w:rFonts w:ascii="Times New Roman" w:hAnsi="Times New Roman" w:cs="Times New Roman"/>
        </w:rPr>
        <w:t>.</w:t>
      </w:r>
      <w:r w:rsidRPr="00AE70E0">
        <w:rPr>
          <w:rFonts w:ascii="Times New Roman" w:hAnsi="Times New Roman" w:cs="Times New Roman"/>
          <w:sz w:val="24"/>
          <w:szCs w:val="24"/>
        </w:rPr>
        <w:t>В</w:t>
      </w:r>
      <w:r w:rsidRPr="00AE70E0">
        <w:rPr>
          <w:rFonts w:ascii="Times New Roman" w:hAnsi="Times New Roman" w:cs="Times New Roman"/>
          <w:sz w:val="24"/>
          <w:szCs w:val="24"/>
        </w:rPr>
        <w:t>ідповідно до рішення ХОР № 7</w:t>
      </w:r>
      <w:r w:rsidR="00E23F8E" w:rsidRPr="00AE70E0">
        <w:rPr>
          <w:rFonts w:ascii="Times New Roman" w:hAnsi="Times New Roman" w:cs="Times New Roman"/>
          <w:sz w:val="24"/>
          <w:szCs w:val="24"/>
        </w:rPr>
        <w:t>31</w:t>
      </w:r>
      <w:r w:rsidRPr="00AE70E0">
        <w:rPr>
          <w:rFonts w:ascii="Times New Roman" w:hAnsi="Times New Roman" w:cs="Times New Roman"/>
          <w:sz w:val="24"/>
          <w:szCs w:val="24"/>
        </w:rPr>
        <w:t>-VIII від 2</w:t>
      </w:r>
      <w:r w:rsidR="00E23F8E" w:rsidRPr="00AE70E0">
        <w:rPr>
          <w:rFonts w:ascii="Times New Roman" w:hAnsi="Times New Roman" w:cs="Times New Roman"/>
          <w:sz w:val="24"/>
          <w:szCs w:val="24"/>
        </w:rPr>
        <w:t>3</w:t>
      </w:r>
      <w:r w:rsidRPr="00AE70E0">
        <w:rPr>
          <w:rFonts w:ascii="Times New Roman" w:hAnsi="Times New Roman" w:cs="Times New Roman"/>
          <w:sz w:val="24"/>
          <w:szCs w:val="24"/>
        </w:rPr>
        <w:t>.</w:t>
      </w:r>
      <w:r w:rsidR="00E23F8E" w:rsidRPr="00AE70E0">
        <w:rPr>
          <w:rFonts w:ascii="Times New Roman" w:hAnsi="Times New Roman" w:cs="Times New Roman"/>
          <w:sz w:val="24"/>
          <w:szCs w:val="24"/>
        </w:rPr>
        <w:t>1</w:t>
      </w:r>
      <w:r w:rsidRPr="00AE70E0">
        <w:rPr>
          <w:rFonts w:ascii="Times New Roman" w:hAnsi="Times New Roman" w:cs="Times New Roman"/>
          <w:sz w:val="24"/>
          <w:szCs w:val="24"/>
        </w:rPr>
        <w:t>2.202</w:t>
      </w:r>
      <w:r w:rsidR="00E23F8E" w:rsidRPr="00AE70E0">
        <w:rPr>
          <w:rFonts w:ascii="Times New Roman" w:hAnsi="Times New Roman" w:cs="Times New Roman"/>
          <w:sz w:val="24"/>
          <w:szCs w:val="24"/>
        </w:rPr>
        <w:t>3</w:t>
      </w:r>
    </w:p>
  </w:footnote>
  <w:footnote w:id="2">
    <w:p w14:paraId="3B57EE6B" w14:textId="05B6D8CD" w:rsidR="004E61F1" w:rsidRDefault="004E61F1">
      <w:pPr>
        <w:pStyle w:val="a3"/>
      </w:pPr>
      <w:r>
        <w:rPr>
          <w:rStyle w:val="a5"/>
        </w:rPr>
        <w:footnoteRef/>
      </w:r>
      <w:r>
        <w:t xml:space="preserve"> </w:t>
      </w:r>
      <w:r w:rsidR="00AE70E0" w:rsidRPr="00E23F8E">
        <w:rPr>
          <w:rFonts w:ascii="Times New Roman" w:hAnsi="Times New Roman" w:cs="Times New Roman"/>
        </w:rPr>
        <w:t>В</w:t>
      </w:r>
      <w:r w:rsidR="00AE70E0" w:rsidRPr="004E61F1">
        <w:rPr>
          <w:rFonts w:ascii="Times New Roman" w:hAnsi="Times New Roman" w:cs="Times New Roman"/>
          <w:sz w:val="24"/>
          <w:szCs w:val="24"/>
        </w:rPr>
        <w:t>ідповідно до рішення ХОР № 7</w:t>
      </w:r>
      <w:r w:rsidR="00AE70E0">
        <w:rPr>
          <w:rFonts w:ascii="Times New Roman" w:hAnsi="Times New Roman" w:cs="Times New Roman"/>
          <w:sz w:val="24"/>
          <w:szCs w:val="24"/>
        </w:rPr>
        <w:t>31</w:t>
      </w:r>
      <w:r w:rsidR="00AE70E0" w:rsidRPr="004E61F1">
        <w:rPr>
          <w:rFonts w:ascii="Times New Roman" w:hAnsi="Times New Roman" w:cs="Times New Roman"/>
          <w:sz w:val="24"/>
          <w:szCs w:val="24"/>
        </w:rPr>
        <w:t>-VIII від 2</w:t>
      </w:r>
      <w:r w:rsidR="00AE70E0">
        <w:rPr>
          <w:rFonts w:ascii="Times New Roman" w:hAnsi="Times New Roman" w:cs="Times New Roman"/>
          <w:sz w:val="24"/>
          <w:szCs w:val="24"/>
        </w:rPr>
        <w:t>3</w:t>
      </w:r>
      <w:r w:rsidR="00AE70E0" w:rsidRPr="004E61F1">
        <w:rPr>
          <w:rFonts w:ascii="Times New Roman" w:hAnsi="Times New Roman" w:cs="Times New Roman"/>
          <w:sz w:val="24"/>
          <w:szCs w:val="24"/>
        </w:rPr>
        <w:t>.</w:t>
      </w:r>
      <w:r w:rsidR="00AE70E0">
        <w:rPr>
          <w:rFonts w:ascii="Times New Roman" w:hAnsi="Times New Roman" w:cs="Times New Roman"/>
          <w:sz w:val="24"/>
          <w:szCs w:val="24"/>
        </w:rPr>
        <w:t>1</w:t>
      </w:r>
      <w:r w:rsidR="00AE70E0" w:rsidRPr="004E61F1">
        <w:rPr>
          <w:rFonts w:ascii="Times New Roman" w:hAnsi="Times New Roman" w:cs="Times New Roman"/>
          <w:sz w:val="24"/>
          <w:szCs w:val="24"/>
        </w:rPr>
        <w:t>2.202</w:t>
      </w:r>
      <w:r w:rsidR="00AE70E0">
        <w:rPr>
          <w:rFonts w:ascii="Times New Roman" w:hAnsi="Times New Roman" w:cs="Times New Roman"/>
          <w:sz w:val="24"/>
          <w:szCs w:val="24"/>
        </w:rPr>
        <w:t>3</w:t>
      </w:r>
    </w:p>
  </w:footnote>
  <w:footnote w:id="3">
    <w:p w14:paraId="3BB44D2F" w14:textId="52A7D975" w:rsidR="004E61F1" w:rsidRDefault="004E61F1">
      <w:pPr>
        <w:pStyle w:val="a3"/>
      </w:pPr>
      <w:r>
        <w:rPr>
          <w:rStyle w:val="a5"/>
        </w:rPr>
        <w:footnoteRef/>
      </w:r>
      <w:r>
        <w:t xml:space="preserve"> </w:t>
      </w:r>
      <w:r w:rsidR="00AE70E0" w:rsidRPr="00E23F8E">
        <w:rPr>
          <w:rFonts w:ascii="Times New Roman" w:hAnsi="Times New Roman" w:cs="Times New Roman"/>
        </w:rPr>
        <w:t>В</w:t>
      </w:r>
      <w:r w:rsidR="00AE70E0" w:rsidRPr="004E61F1">
        <w:rPr>
          <w:rFonts w:ascii="Times New Roman" w:hAnsi="Times New Roman" w:cs="Times New Roman"/>
          <w:sz w:val="24"/>
          <w:szCs w:val="24"/>
        </w:rPr>
        <w:t>ідповідно до рішення ХОР № 7</w:t>
      </w:r>
      <w:r w:rsidR="00AE70E0">
        <w:rPr>
          <w:rFonts w:ascii="Times New Roman" w:hAnsi="Times New Roman" w:cs="Times New Roman"/>
          <w:sz w:val="24"/>
          <w:szCs w:val="24"/>
        </w:rPr>
        <w:t>31</w:t>
      </w:r>
      <w:r w:rsidR="00AE70E0" w:rsidRPr="004E61F1">
        <w:rPr>
          <w:rFonts w:ascii="Times New Roman" w:hAnsi="Times New Roman" w:cs="Times New Roman"/>
          <w:sz w:val="24"/>
          <w:szCs w:val="24"/>
        </w:rPr>
        <w:t>-VIII від 2</w:t>
      </w:r>
      <w:r w:rsidR="00AE70E0">
        <w:rPr>
          <w:rFonts w:ascii="Times New Roman" w:hAnsi="Times New Roman" w:cs="Times New Roman"/>
          <w:sz w:val="24"/>
          <w:szCs w:val="24"/>
        </w:rPr>
        <w:t>3</w:t>
      </w:r>
      <w:r w:rsidR="00AE70E0" w:rsidRPr="004E61F1">
        <w:rPr>
          <w:rFonts w:ascii="Times New Roman" w:hAnsi="Times New Roman" w:cs="Times New Roman"/>
          <w:sz w:val="24"/>
          <w:szCs w:val="24"/>
        </w:rPr>
        <w:t>.</w:t>
      </w:r>
      <w:r w:rsidR="00AE70E0">
        <w:rPr>
          <w:rFonts w:ascii="Times New Roman" w:hAnsi="Times New Roman" w:cs="Times New Roman"/>
          <w:sz w:val="24"/>
          <w:szCs w:val="24"/>
        </w:rPr>
        <w:t>1</w:t>
      </w:r>
      <w:r w:rsidR="00AE70E0" w:rsidRPr="004E61F1">
        <w:rPr>
          <w:rFonts w:ascii="Times New Roman" w:hAnsi="Times New Roman" w:cs="Times New Roman"/>
          <w:sz w:val="24"/>
          <w:szCs w:val="24"/>
        </w:rPr>
        <w:t>2.202</w:t>
      </w:r>
      <w:r w:rsidR="00AE70E0">
        <w:rPr>
          <w:rFonts w:ascii="Times New Roman" w:hAnsi="Times New Roman" w:cs="Times New Roman"/>
          <w:sz w:val="24"/>
          <w:szCs w:val="24"/>
        </w:rPr>
        <w:t>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B1"/>
    <w:rsid w:val="003A5925"/>
    <w:rsid w:val="004E61F1"/>
    <w:rsid w:val="006671E9"/>
    <w:rsid w:val="006D6952"/>
    <w:rsid w:val="008D71B1"/>
    <w:rsid w:val="0091534B"/>
    <w:rsid w:val="00AE70E0"/>
    <w:rsid w:val="00E170A4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3FA"/>
  <w15:docId w15:val="{8B32B377-49F7-451D-B8EC-A3ACDAB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1E9"/>
  </w:style>
  <w:style w:type="paragraph" w:customStyle="1" w:styleId="20">
    <w:name w:val="20"/>
    <w:basedOn w:val="a"/>
    <w:rsid w:val="0066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note text"/>
    <w:basedOn w:val="a"/>
    <w:link w:val="a4"/>
    <w:uiPriority w:val="99"/>
    <w:semiHidden/>
    <w:unhideWhenUsed/>
    <w:rsid w:val="004E61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61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6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574-81C3-4EE0-9ACC-7E0BAC16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2023-07-20T07:37:00Z</dcterms:created>
  <dcterms:modified xsi:type="dcterms:W3CDTF">2024-03-12T13:00:00Z</dcterms:modified>
</cp:coreProperties>
</file>